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Inserci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global, cambio estructural y escalamiento en Cadenas Globales de Valor: Un an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á</w:t>
      </w:r>
      <w:r>
        <w:rPr>
          <w:i w:val="1"/>
          <w:iCs w:val="1"/>
          <w:sz w:val="25"/>
          <w:szCs w:val="25"/>
          <w:rtl w:val="0"/>
          <w:lang w:val="es-ES_tradnl"/>
        </w:rPr>
        <w:t>lisis sectorial para la industria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3763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RA</w:t>
      </w:r>
      <w:r>
        <w:rPr>
          <w:rFonts w:hAnsi="Times New Roman Bold" w:hint="default"/>
          <w:sz w:val="24"/>
          <w:szCs w:val="24"/>
          <w:rtl w:val="0"/>
          <w:lang w:val="es-ES_tradnl"/>
        </w:rPr>
        <w:t>Ú</w:t>
      </w:r>
      <w:r>
        <w:rPr>
          <w:rFonts w:ascii="Times New Roman Bold"/>
          <w:sz w:val="24"/>
          <w:szCs w:val="24"/>
          <w:rtl w:val="0"/>
          <w:lang w:val="es-ES_tradnl"/>
        </w:rPr>
        <w:t>L V</w:t>
      </w:r>
      <w:r>
        <w:rPr>
          <w:rFonts w:hAnsi="Times New Roman Bold" w:hint="default"/>
          <w:sz w:val="24"/>
          <w:szCs w:val="24"/>
          <w:rtl w:val="0"/>
          <w:lang w:val="es-ES_tradnl"/>
        </w:rPr>
        <w:t>Á</w:t>
      </w:r>
      <w:r>
        <w:rPr>
          <w:rFonts w:ascii="Times New Roman Bold"/>
          <w:sz w:val="24"/>
          <w:szCs w:val="24"/>
          <w:rtl w:val="0"/>
          <w:lang w:val="es-ES_tradnl"/>
        </w:rPr>
        <w:t>ZQUEZ L</w:t>
      </w:r>
      <w:r>
        <w:rPr>
          <w:rFonts w:hAnsi="Times New Roman Bold" w:hint="default"/>
          <w:sz w:val="24"/>
          <w:szCs w:val="24"/>
          <w:rtl w:val="0"/>
          <w:lang w:val="es-ES_tradnl"/>
        </w:rPr>
        <w:t>Ó</w:t>
      </w:r>
      <w:r>
        <w:rPr>
          <w:rFonts w:ascii="Times New Roman Bold"/>
          <w:sz w:val="24"/>
          <w:szCs w:val="24"/>
          <w:rtl w:val="0"/>
          <w:lang w:val="es-ES_tradnl"/>
        </w:rPr>
        <w:t>PEZ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3763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